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709" w:leader="none"/>
          <w:tab w:val="left" w:pos="1418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>UNIVERZITET U TUZLI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Filozofski fakultet </w:t>
      </w:r>
    </w:p>
    <w:p>
      <w:pPr>
        <w:pStyle w:val="Heading1"/>
        <w:tabs>
          <w:tab w:val="clear" w:pos="720"/>
          <w:tab w:val="left" w:pos="709" w:leader="none"/>
          <w:tab w:val="left" w:pos="1418" w:leader="none"/>
        </w:tabs>
        <w:bidi w:val="0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b w:val="false"/>
          <w:sz w:val="24"/>
          <w:szCs w:val="24"/>
        </w:rPr>
        <w:t>Broj: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02/5-1-8601-1.3.1/25   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  <w:tab w:val="left" w:pos="2124" w:leader="none"/>
          <w:tab w:val="left" w:pos="2832" w:leader="none"/>
          <w:tab w:val="left" w:pos="3540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cs="Times New Roman" w:ascii="Times New Roman" w:hAnsi="Times New Roman"/>
          <w:sz w:val="24"/>
          <w:szCs w:val="24"/>
          <w:lang w:val="hr-HR"/>
        </w:rPr>
        <w:t xml:space="preserve">Tuzla, 26.11.2025. godine    </w:t>
      </w:r>
    </w:p>
    <w:p>
      <w:pPr>
        <w:pStyle w:val="Normal"/>
        <w:widowControl/>
        <w:tabs>
          <w:tab w:val="clear" w:pos="720"/>
          <w:tab w:val="left" w:pos="709" w:leader="none"/>
          <w:tab w:val="left" w:pos="1418" w:leader="none"/>
          <w:tab w:val="left" w:pos="2124" w:leader="none"/>
          <w:tab w:val="left" w:pos="2832" w:leader="none"/>
          <w:tab w:val="left" w:pos="354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709" w:leader="none"/>
          <w:tab w:val="left" w:pos="1418" w:leader="none"/>
          <w:tab w:val="left" w:pos="2124" w:leader="none"/>
          <w:tab w:val="left" w:pos="2832" w:leader="none"/>
          <w:tab w:val="left" w:pos="354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 xml:space="preserve">Na osnovu člana 70. stav (3) tačka m) Zakona o visokom obrazovanju (prečišćeni tekst), (“Sl. novine Tuzlanskog Kantona”, br. 21/21, 22/22, 5/22, 11/22 i 16/22), člana 125. stav (1) tačka m) Statuta JU Univerzitet u Tuzli 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prečišćeni tekst broj: 03-5695-1-2/23 od 18.10.2023. godine i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Odluke o izmjenama i dopunama Statuta JU Univerzitet u Tuzli </w:t>
      </w:r>
      <w:r>
        <w:rPr>
          <w:rFonts w:cs="Times New Roman" w:ascii="Times New Roman" w:hAnsi="Times New Roman"/>
          <w:strike w:val="false"/>
          <w:dstrike w:val="false"/>
          <w:sz w:val="24"/>
          <w:szCs w:val="24"/>
          <w:lang w:val="en-US"/>
        </w:rPr>
        <w:t xml:space="preserve">prečišćeni tekst broj; </w:t>
      </w:r>
      <w:r>
        <w:rPr>
          <w:rFonts w:eastAsia="Calibri" w:cs="Times New Roman" w:ascii="Times New Roman" w:hAnsi="Times New Roman"/>
          <w:strike w:val="false"/>
          <w:dstrike w:val="false"/>
          <w:color w:val="auto"/>
          <w:sz w:val="24"/>
          <w:szCs w:val="24"/>
          <w:lang w:val="en-US" w:eastAsia="zh-CN" w:bidi="ar-SA"/>
        </w:rPr>
        <w:t>03-3905-1-1/24 od 09.07.2024.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godine Naučno–nastavno vijeće Filozofskog fakulteta Univerziteta u Tuzli na sjednici održanoj 26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en-US" w:eastAsia="zh-CN" w:bidi="ar-SA"/>
        </w:rPr>
        <w:t>.11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.2025</w:t>
      </w:r>
      <w:r>
        <w:rPr>
          <w:rFonts w:cs="Times New Roman" w:ascii="Times New Roman" w:hAnsi="Times New Roman"/>
          <w:sz w:val="24"/>
          <w:szCs w:val="24"/>
          <w:lang w:val="en-US"/>
        </w:rPr>
        <w:t>. godine, utvrdilo je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 R I J  E D L O G</w:t>
      </w:r>
    </w:p>
    <w:p>
      <w:pPr>
        <w:pStyle w:val="NoSpacing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izmjena i dopuna plana realizacije nastave za studijske programe prvog ciklusa studija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u akademskoj 2025/2026. godini</w:t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 xml:space="preserve">Utvrđuje se </w:t>
      </w:r>
      <w:r>
        <w:rPr>
          <w:rFonts w:cs="Times New Roman" w:ascii="Times New Roman" w:hAnsi="Times New Roman"/>
          <w:sz w:val="24"/>
          <w:szCs w:val="24"/>
        </w:rPr>
        <w:t>Prijedlog izmjena i dopuna plana realizacije nastave za studijske programe prvog ciklusa studija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u akademskoj 2025/2026. godini: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right="0" w:hanging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 xml:space="preserve">1.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4"/>
          <w:szCs w:val="24"/>
          <w:lang w:val="hr-HR" w:eastAsia="zh-CN" w:bidi="hi-IN"/>
        </w:rPr>
        <w:t>Bosanski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 xml:space="preserve"> jezik i književnost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>2. Turski jezik i književnost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>3. Filozofija-sociologija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right="0" w:hanging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 xml:space="preserve">4.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4"/>
          <w:szCs w:val="24"/>
          <w:lang w:val="hr-HR" w:eastAsia="zh-CN" w:bidi="hi-IN"/>
        </w:rPr>
        <w:t>Politologija-Međunarodni odnosi i diplomatija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right="0" w:hanging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 xml:space="preserve">5.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2"/>
          <w:sz w:val="24"/>
          <w:szCs w:val="24"/>
          <w:lang w:val="hr-HR" w:eastAsia="zh-CN" w:bidi="hi-IN"/>
        </w:rPr>
        <w:t>Pedagogija.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right="0" w:hanging="0"/>
        <w:jc w:val="both"/>
        <w:rPr/>
      </w:pPr>
      <w:r>
        <w:rPr/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Sastavni dio ovog prijedloga je tabelarni pregled izmjena i dopuna plana realizacije nastave za 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>navedene studijske programe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III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Prijedlog se dostavlja Senatu Univerziteta na daljnji postupak.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Dostaviti: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Senat Univerziteta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Ured za nastavu i studentska pitanja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Evidencija NNV-a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a/a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 </w:t>
      </w:r>
      <w:r>
        <w:rPr>
          <w:rFonts w:cs="Times New Roman" w:ascii="Times New Roman" w:hAnsi="Times New Roman"/>
          <w:b w:val="false"/>
          <w:sz w:val="24"/>
          <w:szCs w:val="24"/>
          <w:lang w:val="en-US"/>
        </w:rPr>
        <w:t>Predsjedavajući NNV</w:t>
      </w:r>
    </w:p>
    <w:p>
      <w:pPr>
        <w:pStyle w:val="NoSpacing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en-US"/>
        </w:rPr>
        <w:t>Dr. sc. Sead Nazibegović, red. prof.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UNIVERZITET U TUZLI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FILOZOFSKI FAKULTET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PRIJEDLOG IZMJENA I DOPUNA PLANA POKRIVENOSTI NASTAVE NA I CIKLUSU STUDIJA ZA RAZMATRANJE NA NAUČNO-NASTAVNOM VIJEĆU FILOZOFSKOG FAKULTETA 26.11.2025. GODINE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lang w:val="hr-HR"/>
        </w:rPr>
        <w:t>Odsjek:</w:t>
      </w:r>
      <w:r>
        <w:rPr>
          <w:rFonts w:ascii="Times New Roman" w:hAnsi="Times New Roman"/>
          <w:b/>
          <w:bCs/>
          <w:lang w:val="hr-HR"/>
        </w:rPr>
        <w:t xml:space="preserve"> Bosanski jezik i književnost</w:t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</w:r>
    </w:p>
    <w:tbl>
      <w:tblPr>
        <w:tblW w:w="145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1216"/>
        <w:gridCol w:w="852"/>
        <w:gridCol w:w="2543"/>
        <w:gridCol w:w="1110"/>
        <w:gridCol w:w="2442"/>
        <w:gridCol w:w="1117"/>
        <w:gridCol w:w="2296"/>
      </w:tblGrid>
      <w:tr>
        <w:trPr>
          <w:trHeight w:val="546" w:hRule="atLeast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Nastavni predmet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Godina studija/ semestar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Fond sati</w:t>
            </w:r>
          </w:p>
        </w:tc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Prethodna pokrivenost nastave</w:t>
            </w: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Izmjene pokrivenosti nastave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4"/>
              <w:jc w:val="center"/>
              <w:rPr>
                <w:rFonts w:ascii="Times New Roman" w:hAnsi="Times New Roman"/>
                <w:b/>
                <w:b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</w:r>
          </w:p>
          <w:p>
            <w:pPr>
              <w:pStyle w:val="Normal"/>
              <w:widowControl w:val="false"/>
              <w:spacing w:lineRule="auto" w:line="254"/>
              <w:jc w:val="center"/>
              <w:rPr>
                <w:rFonts w:ascii="Times New Roman" w:hAnsi="Times New Roman"/>
                <w:b/>
                <w:b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</w:r>
          </w:p>
          <w:p>
            <w:pPr>
              <w:pStyle w:val="Normal"/>
              <w:widowControl w:val="false"/>
              <w:spacing w:lineRule="auto" w:line="254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Napomena</w:t>
            </w:r>
          </w:p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29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  <w:tc>
          <w:tcPr>
            <w:tcW w:w="12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Nastavnik/saradnik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Broj održanih sati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Nastavnik/saradnik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Broj planiranih sati</w:t>
            </w:r>
          </w:p>
        </w:tc>
        <w:tc>
          <w:tcPr>
            <w:tcW w:w="22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Savremeni bosanski, hrvatski, srpski jezik I (FF; EJK)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I/I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 V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Julijana Kotorić Kovačević,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15 V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Angažman stručnjaka iz prakse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Bosanski jezik (FF; Politologija)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I/II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 V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Julijana Kotorić Kovačević,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4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30 V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Angažman stručnjaka iz prakse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lang w:val="bs-BA"/>
        </w:rPr>
      </w:pPr>
      <w:r>
        <w:rPr>
          <w:rFonts w:ascii="Times New Roman" w:hAnsi="Times New Roman"/>
          <w:b/>
          <w:lang w:val="bs-B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lang w:val="bs-BA"/>
        </w:rPr>
      </w:pPr>
      <w:r>
        <w:rPr>
          <w:rFonts w:ascii="Times New Roman" w:hAnsi="Times New Roman"/>
          <w:bCs/>
          <w:lang w:val="bs-BA"/>
        </w:rPr>
        <w:t xml:space="preserve">Odsjek: </w:t>
      </w:r>
      <w:r>
        <w:rPr>
          <w:rFonts w:ascii="Times New Roman" w:hAnsi="Times New Roman"/>
          <w:b/>
          <w:lang w:val="bs-BA"/>
        </w:rPr>
        <w:t>Turski jezik i književnost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lang w:val="bs-BA"/>
        </w:rPr>
      </w:pPr>
      <w:r>
        <w:rPr>
          <w:rFonts w:ascii="Times New Roman" w:hAnsi="Times New Roman"/>
          <w:b/>
          <w:lang w:val="bs-BA"/>
        </w:rPr>
      </w:r>
    </w:p>
    <w:tbl>
      <w:tblPr>
        <w:tblW w:w="14550" w:type="dxa"/>
        <w:jc w:val="center"/>
        <w:tblInd w:w="0" w:type="dxa"/>
        <w:tblLayout w:type="fixed"/>
        <w:tblCellMar>
          <w:top w:w="0" w:type="dxa"/>
          <w:left w:w="100" w:type="dxa"/>
          <w:bottom w:w="0" w:type="dxa"/>
          <w:right w:w="100" w:type="dxa"/>
        </w:tblCellMar>
        <w:tblLook w:firstRow="1" w:noVBand="1" w:lastRow="0" w:firstColumn="1" w:lastColumn="0" w:noHBand="0" w:val="04a0"/>
      </w:tblPr>
      <w:tblGrid>
        <w:gridCol w:w="2978"/>
        <w:gridCol w:w="1208"/>
        <w:gridCol w:w="845"/>
        <w:gridCol w:w="2555"/>
        <w:gridCol w:w="1107"/>
        <w:gridCol w:w="2456"/>
        <w:gridCol w:w="1106"/>
        <w:gridCol w:w="2293"/>
      </w:tblGrid>
      <w:tr>
        <w:trPr>
          <w:trHeight w:val="540" w:hRule="atLeast"/>
        </w:trPr>
        <w:tc>
          <w:tcPr>
            <w:tcW w:w="2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="Times New Roman" w:hAnsi="Times New Roman"/>
                <w:b/>
                <w:lang w:bidi="ar"/>
              </w:rPr>
              <w:t>Nastavni predmet</w:t>
            </w:r>
          </w:p>
        </w:tc>
        <w:tc>
          <w:tcPr>
            <w:tcW w:w="1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Godina studija/ semestar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Fond sati</w:t>
            </w:r>
          </w:p>
        </w:tc>
        <w:tc>
          <w:tcPr>
            <w:tcW w:w="36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Prethodna pokrivenost nastave</w:t>
            </w:r>
          </w:p>
        </w:tc>
        <w:tc>
          <w:tcPr>
            <w:tcW w:w="3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Izmjene pokrivenosti nastave</w:t>
            </w:r>
          </w:p>
        </w:tc>
        <w:tc>
          <w:tcPr>
            <w:tcW w:w="22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Napomena</w:t>
            </w:r>
          </w:p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(razlog izmjene)</w:t>
            </w:r>
          </w:p>
        </w:tc>
      </w:tr>
      <w:tr>
        <w:trPr>
          <w:trHeight w:val="520" w:hRule="atLeast"/>
        </w:trPr>
        <w:tc>
          <w:tcPr>
            <w:tcW w:w="297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" w:cs="" w:asciiTheme="minorHAnsi" w:cstheme="minorBidi" w:eastAsiaTheme="minorEastAsia" w:hAnsiTheme="minorHAnsi"/>
                <w:lang w:eastAsia="zh-CN"/>
              </w:rPr>
            </w:pPr>
            <w:r>
              <w:rPr>
                <w:rFonts w:eastAsia="" w:cs="" w:cstheme="minorBidi" w:eastAsiaTheme="minorEastAsia"/>
                <w:lang w:eastAsia="zh-CN"/>
              </w:rPr>
            </w:r>
          </w:p>
        </w:tc>
        <w:tc>
          <w:tcPr>
            <w:tcW w:w="12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" w:cs="" w:asciiTheme="minorHAnsi" w:cstheme="minorBidi" w:eastAsiaTheme="minorEastAsia" w:hAnsiTheme="minorHAnsi"/>
                <w:lang w:eastAsia="zh-CN"/>
              </w:rPr>
            </w:pPr>
            <w:r>
              <w:rPr>
                <w:rFonts w:eastAsia="" w:cs="" w:cstheme="minorBidi" w:eastAsiaTheme="minorEastAsia"/>
                <w:lang w:eastAsia="zh-CN"/>
              </w:rPr>
            </w:r>
          </w:p>
        </w:tc>
        <w:tc>
          <w:tcPr>
            <w:tcW w:w="84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" w:cs="" w:asciiTheme="minorHAnsi" w:cstheme="minorBidi" w:eastAsiaTheme="minorEastAsia" w:hAnsiTheme="minorHAnsi"/>
                <w:lang w:eastAsia="zh-CN"/>
              </w:rPr>
            </w:pPr>
            <w:r>
              <w:rPr>
                <w:rFonts w:eastAsia="" w:cs="" w:cstheme="minorBidi" w:eastAsiaTheme="minorEastAsia"/>
                <w:lang w:eastAsia="zh-CN"/>
              </w:rPr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Nastavnik/saradnik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Broj održanih sati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Nastavnik/saradnik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Times New Roman" w:hAnsi="Times New Roman"/>
                <w:b/>
                <w:lang w:bidi="ar"/>
              </w:rPr>
              <w:t>Broj planiranih sati</w:t>
            </w:r>
          </w:p>
        </w:tc>
        <w:tc>
          <w:tcPr>
            <w:tcW w:w="229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" w:cs="" w:asciiTheme="minorHAnsi" w:cstheme="minorBidi" w:eastAsiaTheme="minorEastAsia" w:hAnsiTheme="minorHAnsi"/>
                <w:lang w:eastAsia="zh-CN"/>
              </w:rPr>
            </w:pPr>
            <w:r>
              <w:rPr>
                <w:rFonts w:eastAsia="" w:cs="" w:cstheme="minorBidi" w:eastAsiaTheme="minorEastAsia"/>
                <w:lang w:eastAsia="zh-CN"/>
              </w:rPr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SAVREMENI TURSKI JEZIK 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7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4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4</w:t>
            </w:r>
          </w:p>
        </w:tc>
        <w:tc>
          <w:tcPr>
            <w:tcW w:w="22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 xml:space="preserve">UVOD U TURKOLOGIJU 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1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1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SAVREMENI TURSKI JEZIK II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7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4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4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JEZIČKE VJEŽBE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1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SAVREMENI TURSKI JEZIK III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7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4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4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SAVREMENI TURSKI JEZIK IV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7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5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5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SAVREMENI TURSKI JEZIK V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7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3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3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OPĆA LINGVISTIKA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1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1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SAVREMENI TURSKI JEZIK VI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7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3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3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METODIKA NASTAVE TURSKOG JEZIKA I KNJIŽEVNOSTI 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III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2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METODIKA NASTAVE TURSKOG JEZIKA I KNJIŽEVNOSTI II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IV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Asja Mešić, v.ass.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2</w:t>
            </w:r>
          </w:p>
        </w:tc>
        <w:tc>
          <w:tcPr>
            <w:tcW w:w="2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Dr.sc. Muhammed Karasu, lektor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</w:rPr>
            </w:pPr>
            <w:r>
              <w:rPr>
                <w:rFonts w:cs="" w:asciiTheme="majorBidi" w:cstheme="majorBidi" w:hAnsiTheme="majorBidi"/>
              </w:rPr>
              <w:t>Viša asistentica odbila angažman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Cs/>
          <w:lang w:val="bs-BA"/>
        </w:rPr>
      </w:pPr>
      <w:r>
        <w:rPr>
          <w:rFonts w:ascii="Times New Roman" w:hAnsi="Times New Roman"/>
          <w:bCs/>
          <w:lang w:val="bs-B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lang w:val="bs-BA"/>
        </w:rPr>
      </w:pPr>
      <w:r>
        <w:rPr>
          <w:rFonts w:ascii="Times New Roman" w:hAnsi="Times New Roman"/>
          <w:bCs/>
          <w:lang w:val="bs-BA"/>
        </w:rPr>
        <w:t>Odsjek:</w:t>
      </w:r>
      <w:r>
        <w:rPr>
          <w:rFonts w:ascii="Times New Roman" w:hAnsi="Times New Roman"/>
          <w:b/>
          <w:lang w:val="bs-BA"/>
        </w:rPr>
        <w:t xml:space="preserve"> Filozofija-Sociologija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lang w:val="bs-BA"/>
        </w:rPr>
      </w:pPr>
      <w:r>
        <w:rPr>
          <w:rFonts w:ascii="Times New Roman" w:hAnsi="Times New Roman"/>
          <w:b/>
          <w:lang w:val="bs-BA"/>
        </w:rPr>
      </w:r>
    </w:p>
    <w:tbl>
      <w:tblPr>
        <w:tblW w:w="142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88"/>
        <w:gridCol w:w="1000"/>
        <w:gridCol w:w="851"/>
        <w:gridCol w:w="2535"/>
        <w:gridCol w:w="1118"/>
        <w:gridCol w:w="2441"/>
        <w:gridCol w:w="1336"/>
        <w:gridCol w:w="1765"/>
      </w:tblGrid>
      <w:tr>
        <w:trPr>
          <w:trHeight w:val="546" w:hRule="atLeast"/>
        </w:trPr>
        <w:tc>
          <w:tcPr>
            <w:tcW w:w="3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Nastavni predmet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Fond sati</w:t>
            </w:r>
          </w:p>
        </w:tc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Prethodna pokrivenost nastave</w:t>
            </w:r>
          </w:p>
        </w:tc>
        <w:tc>
          <w:tcPr>
            <w:tcW w:w="3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Izmjene pokrivenosti nastave</w:t>
            </w:r>
          </w:p>
        </w:tc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Napomena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31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Nastavnik/saradnik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Broj održanih sati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Nastavnik/saradnik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Broj planiranih sati</w:t>
            </w:r>
          </w:p>
        </w:tc>
        <w:tc>
          <w:tcPr>
            <w:tcW w:w="1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</w:tc>
      </w:tr>
      <w:tr>
        <w:trPr>
          <w:trHeight w:val="525" w:hRule="atLeast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lang w:val="bs-BA"/>
              </w:rPr>
            </w:pPr>
            <w:r>
              <w:rPr>
                <w:rFonts w:cs="" w:asciiTheme="majorBidi" w:cstheme="majorBidi" w:hAnsiTheme="majorBidi"/>
                <w:bCs/>
                <w:sz w:val="20"/>
                <w:szCs w:val="20"/>
                <w:lang w:val="bs-BA"/>
              </w:rPr>
              <w:t>Njemačka klasična filozofija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3/VI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</w:rPr>
              <w:t>3 2 0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MA Medina Adanalić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nepokriveno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18"/>
                <w:szCs w:val="18"/>
                <w:lang w:val="bs-BA"/>
              </w:rPr>
              <w:t>Prilagođavanje normi koja je pokrivena programom Federalnog zavoda za zapošljavanje</w:t>
            </w:r>
          </w:p>
        </w:tc>
      </w:tr>
      <w:tr>
        <w:trPr>
          <w:trHeight w:val="525" w:hRule="atLeast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lang w:val="bs-BA"/>
              </w:rPr>
            </w:pPr>
            <w:r>
              <w:rPr>
                <w:rFonts w:cs="" w:asciiTheme="majorBidi" w:cstheme="majorBidi" w:hAnsiTheme="majorBidi"/>
                <w:bCs/>
                <w:sz w:val="20"/>
                <w:szCs w:val="20"/>
                <w:lang w:val="bs-BA"/>
              </w:rPr>
              <w:t>Filozofija religije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3/VI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</w:rPr>
              <w:t>3 2 0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MA Medina Adanalić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nepokriveno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18"/>
                <w:szCs w:val="18"/>
                <w:lang w:val="bs-BA"/>
              </w:rPr>
              <w:t>Prilagođavanje normi koja je pokrivena programom Federalnog zavoda za zapošljavanje</w:t>
            </w:r>
          </w:p>
        </w:tc>
      </w:tr>
      <w:tr>
        <w:trPr>
          <w:trHeight w:val="525" w:hRule="atLeast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lang w:val="bs-BA"/>
              </w:rPr>
            </w:pPr>
            <w:r>
              <w:rPr>
                <w:rFonts w:cs="" w:asciiTheme="majorBidi" w:cstheme="majorBidi" w:hAnsiTheme="majorBidi"/>
                <w:bCs/>
                <w:sz w:val="20"/>
                <w:szCs w:val="20"/>
                <w:lang w:val="bs-BA"/>
              </w:rPr>
              <w:t>Filozofija politike 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1/II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</w:rPr>
              <w:t>3 2 0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MA Medina Adanalić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Nepokriveno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2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18"/>
                <w:szCs w:val="18"/>
                <w:lang w:val="bs-BA"/>
              </w:rPr>
              <w:t>Prilagođavanje normi koja je pokrivena programom Federalnog zavoda za zapošljavanje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spacing w:lineRule="auto" w:line="240" w:before="0" w:after="0"/>
        <w:rPr>
          <w:rFonts w:cs="" w:asciiTheme="majorBidi" w:cstheme="majorBidi" w:hAnsiTheme="majorBidi"/>
          <w:b/>
          <w:b/>
          <w:lang w:val="bs-BA"/>
        </w:rPr>
      </w:pPr>
      <w:r>
        <w:rPr>
          <w:rFonts w:cs="" w:asciiTheme="majorBidi" w:cstheme="majorBidi" w:hAnsiTheme="majorBidi"/>
          <w:lang w:val="bs-BA"/>
        </w:rPr>
        <w:t xml:space="preserve">Odsjek: </w:t>
      </w:r>
      <w:r>
        <w:rPr>
          <w:rFonts w:cs="" w:asciiTheme="majorBidi" w:cstheme="majorBidi" w:hAnsiTheme="majorBidi"/>
          <w:b/>
          <w:bCs/>
          <w:lang w:val="bs-BA"/>
        </w:rPr>
        <w:t>Filozofija-Sociologija</w:t>
      </w:r>
      <w:r>
        <w:rPr>
          <w:rFonts w:cs="" w:asciiTheme="majorBidi" w:cstheme="majorBidi" w:hAnsiTheme="majorBidi"/>
          <w:lang w:val="bs-BA"/>
        </w:rPr>
        <w:t>, Studijski program:</w:t>
      </w:r>
      <w:r>
        <w:rPr>
          <w:rFonts w:cs="" w:asciiTheme="majorBidi" w:cstheme="majorBidi" w:hAnsiTheme="majorBidi"/>
          <w:b/>
          <w:lang w:val="bs-BA"/>
        </w:rPr>
        <w:t xml:space="preserve"> Politologija</w:t>
      </w:r>
      <w:r>
        <w:rPr>
          <w:rFonts w:cs="" w:asciiTheme="majorBidi" w:cstheme="majorBidi" w:hAnsiTheme="majorBidi"/>
          <w:bCs/>
          <w:lang w:val="bs-BA"/>
        </w:rPr>
        <w:t xml:space="preserve">, Usmjerenje: </w:t>
      </w:r>
      <w:r>
        <w:rPr>
          <w:rFonts w:cs="" w:asciiTheme="majorBidi" w:cstheme="majorBidi" w:hAnsiTheme="majorBidi"/>
          <w:b/>
          <w:lang w:val="bs-BA"/>
        </w:rPr>
        <w:t>Međunarodni odnosi i diplomatija</w:t>
      </w:r>
    </w:p>
    <w:p>
      <w:pPr>
        <w:pStyle w:val="Normal"/>
        <w:spacing w:lineRule="auto" w:line="240" w:before="0" w:after="0"/>
        <w:jc w:val="center"/>
        <w:rPr>
          <w:rFonts w:cs="" w:asciiTheme="majorBidi" w:cstheme="majorBidi" w:hAnsiTheme="majorBidi"/>
          <w:b/>
          <w:b/>
          <w:lang w:val="bs-BA"/>
        </w:rPr>
      </w:pPr>
      <w:r>
        <w:rPr>
          <w:rFonts w:cs="" w:asciiTheme="majorBidi" w:cstheme="majorBidi" w:hAnsiTheme="majorBidi"/>
          <w:b/>
          <w:lang w:val="bs-BA"/>
        </w:rPr>
      </w:r>
    </w:p>
    <w:tbl>
      <w:tblPr>
        <w:tblW w:w="142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88"/>
        <w:gridCol w:w="1000"/>
        <w:gridCol w:w="851"/>
        <w:gridCol w:w="2535"/>
        <w:gridCol w:w="1118"/>
        <w:gridCol w:w="2441"/>
        <w:gridCol w:w="1295"/>
        <w:gridCol w:w="1806"/>
      </w:tblGrid>
      <w:tr>
        <w:trPr>
          <w:trHeight w:val="546" w:hRule="atLeast"/>
        </w:trPr>
        <w:tc>
          <w:tcPr>
            <w:tcW w:w="3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Nastavni predmet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Fond sati</w:t>
            </w:r>
          </w:p>
        </w:tc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Prethodna pokrivenost nastave</w:t>
            </w:r>
          </w:p>
        </w:tc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Izmjene pokrivenosti nastave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Napomena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31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Nastavnik/saradnik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Broj održanih sati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Nastavnik/saradnik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  <w:t>Broj planiranih sati</w:t>
            </w:r>
          </w:p>
        </w:tc>
        <w:tc>
          <w:tcPr>
            <w:tcW w:w="18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/>
                <w:b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/>
                <w:sz w:val="20"/>
                <w:szCs w:val="20"/>
                <w:lang w:val="bs-BA"/>
              </w:rPr>
            </w:r>
          </w:p>
        </w:tc>
      </w:tr>
      <w:tr>
        <w:trPr>
          <w:trHeight w:val="525" w:hRule="atLeast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bCs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bCs/>
                <w:sz w:val="20"/>
                <w:szCs w:val="20"/>
                <w:lang w:val="bs-BA"/>
              </w:rPr>
              <w:t>Regionalni razvoj i saradnja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3/VI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  <w:sz w:val="20"/>
                <w:szCs w:val="20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</w:rPr>
              <w:t>3 2 0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MA Midheta Mumić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  <w:sz w:val="20"/>
                <w:szCs w:val="20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Nepokriveno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cs="" w:asciiTheme="majorBidi" w:cstheme="majorBidi" w:hAnsiTheme="majorBidi"/>
                <w:sz w:val="18"/>
                <w:szCs w:val="18"/>
                <w:lang w:val="bs-BA"/>
              </w:rPr>
            </w:pPr>
            <w:r>
              <w:rPr>
                <w:rFonts w:cs="" w:asciiTheme="majorBidi" w:cstheme="majorBidi" w:hAnsiTheme="majorBidi"/>
                <w:sz w:val="18"/>
                <w:szCs w:val="18"/>
                <w:lang w:val="bs-BA"/>
              </w:rPr>
              <w:t>Istek saradničkog zvanja 28.2.2026. godine.</w:t>
            </w:r>
          </w:p>
        </w:tc>
      </w:tr>
    </w:tbl>
    <w:p>
      <w:pPr>
        <w:pStyle w:val="Normal"/>
        <w:suppressAutoHyphens w:val="true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suppressAutoHyphens w:val="true"/>
        <w:rPr>
          <w:b/>
          <w:b/>
          <w:lang w:val="en-AU"/>
        </w:rPr>
      </w:pPr>
      <w:r>
        <w:rPr>
          <w:rFonts w:ascii="Times New Roman" w:hAnsi="Times New Roman"/>
          <w:bCs/>
          <w:lang w:val="en-AU" w:eastAsia="zh-CN" w:bidi="ar"/>
        </w:rPr>
        <w:t>Odsjek:</w:t>
      </w:r>
      <w:r>
        <w:rPr>
          <w:rFonts w:ascii="Times New Roman" w:hAnsi="Times New Roman"/>
          <w:b/>
          <w:lang w:val="en-AU" w:eastAsia="zh-CN" w:bidi="ar"/>
        </w:rPr>
        <w:t xml:space="preserve"> Psihologija-pedagogija, </w:t>
      </w:r>
      <w:r>
        <w:rPr>
          <w:rFonts w:ascii="Times New Roman" w:hAnsi="Times New Roman"/>
          <w:bCs/>
          <w:lang w:val="en-AU" w:eastAsia="zh-CN" w:bidi="ar"/>
        </w:rPr>
        <w:t>Studijski program:</w:t>
      </w:r>
      <w:r>
        <w:rPr>
          <w:rFonts w:ascii="Times New Roman" w:hAnsi="Times New Roman"/>
          <w:b/>
          <w:lang w:val="en-AU" w:eastAsia="zh-CN" w:bidi="ar"/>
        </w:rPr>
        <w:t xml:space="preserve"> Pedagogija</w:t>
      </w:r>
    </w:p>
    <w:tbl>
      <w:tblPr>
        <w:tblW w:w="14772" w:type="dxa"/>
        <w:jc w:val="center"/>
        <w:tblInd w:w="0" w:type="dxa"/>
        <w:tblLayout w:type="fixed"/>
        <w:tblCellMar>
          <w:top w:w="0" w:type="dxa"/>
          <w:left w:w="100" w:type="dxa"/>
          <w:bottom w:w="0" w:type="dxa"/>
          <w:right w:w="100" w:type="dxa"/>
        </w:tblCellMar>
        <w:tblLook w:firstRow="1" w:noVBand="1" w:lastRow="0" w:firstColumn="1" w:lastColumn="0" w:noHBand="0" w:val="04a0"/>
      </w:tblPr>
      <w:tblGrid>
        <w:gridCol w:w="2986"/>
        <w:gridCol w:w="1203"/>
        <w:gridCol w:w="842"/>
        <w:gridCol w:w="2545"/>
        <w:gridCol w:w="1343"/>
        <w:gridCol w:w="2446"/>
        <w:gridCol w:w="1121"/>
        <w:gridCol w:w="2284"/>
      </w:tblGrid>
      <w:tr>
        <w:trPr>
          <w:trHeight w:val="540" w:hRule="atLeast"/>
        </w:trPr>
        <w:tc>
          <w:tcPr>
            <w:tcW w:w="29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Nastavni predmet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Godina studija/ semestar</w:t>
            </w:r>
          </w:p>
        </w:tc>
        <w:tc>
          <w:tcPr>
            <w:tcW w:w="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Fond sati</w:t>
            </w:r>
          </w:p>
        </w:tc>
        <w:tc>
          <w:tcPr>
            <w:tcW w:w="3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Prethodna pokrivenost nastave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Izmjene pokrivenosti nastave</w:t>
            </w:r>
          </w:p>
        </w:tc>
        <w:tc>
          <w:tcPr>
            <w:tcW w:w="22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Times New Roman" w:hAnsi="Times New Roman"/>
                <w:b/>
                <w:b/>
                <w:lang w:val="en-AU"/>
              </w:rPr>
            </w:pPr>
            <w:r>
              <w:rPr>
                <w:rFonts w:ascii="Times New Roman" w:hAnsi="Times New Roman"/>
                <w:b/>
                <w:lang w:val="en-AU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Times New Roman" w:hAnsi="Times New Roman"/>
                <w:b/>
                <w:b/>
                <w:lang w:val="en-AU"/>
              </w:rPr>
            </w:pPr>
            <w:r>
              <w:rPr>
                <w:rFonts w:ascii="Times New Roman" w:hAnsi="Times New Roman"/>
                <w:b/>
                <w:lang w:val="en-AU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Napomena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(razlog izmjene)</w:t>
            </w:r>
          </w:p>
        </w:tc>
      </w:tr>
      <w:tr>
        <w:trPr>
          <w:trHeight w:val="520" w:hRule="atLeast"/>
        </w:trPr>
        <w:tc>
          <w:tcPr>
            <w:tcW w:w="29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0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Nastavnik/saradnik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Broj održanih sati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Nastavnik/saradnik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AU" w:eastAsia="zh-CN" w:bidi="ar"/>
              </w:rPr>
              <w:t>Broj planiranih sati</w:t>
            </w:r>
          </w:p>
        </w:tc>
        <w:tc>
          <w:tcPr>
            <w:tcW w:w="22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80" w:hRule="atLeast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 xml:space="preserve">Metodika </w:t>
            </w: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prirode i društva I (Razredna nastava)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 xml:space="preserve"> / </w:t>
            </w: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VII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 xml:space="preserve"> 0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>nepokriveno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Prof.dr. Sanela Merjem Rustempašić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30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</w:tr>
      <w:tr>
        <w:trPr>
          <w:trHeight w:val="180" w:hRule="atLeast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Metodika upoznavanja okoline (Predškolski odgoj 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IV/VII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2 1 0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nepokriveno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Prof.dr. Sanela Merjem Rustempašić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30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</w:tr>
      <w:tr>
        <w:trPr>
          <w:trHeight w:val="180" w:hRule="atLeast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 xml:space="preserve">Metodika </w:t>
            </w: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prirode i društva II (Razredna nastava)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 xml:space="preserve"> / </w:t>
            </w: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VIII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bs-BA" w:eastAsia="zh-CN" w:bidi="ar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 xml:space="preserve"> 0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>nepokriveno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Prof.dr. Sanela Merjem Rustempašić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30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</w:tr>
      <w:tr>
        <w:trPr>
          <w:trHeight w:val="180" w:hRule="atLeast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Teorije odgoja II (vježbe)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I/II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2 2 0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MA Merjem Sušić, v.ass.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MA Merjem Sušić, v.ass.</w:t>
            </w:r>
          </w:p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Izbor u toku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15</w:t>
            </w:r>
          </w:p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15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  <w:t xml:space="preserve">Izbor u toku 15 sati vježbi. </w:t>
            </w:r>
          </w:p>
        </w:tc>
      </w:tr>
      <w:tr>
        <w:trPr>
          <w:trHeight w:val="180" w:hRule="atLeast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Vannastavne aktivnosti (vježbe)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IV/VII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2 1 0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Damir Gazdić, stručnjak iz prakse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Alis Begić, stručnjak iz prakse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15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Izjašnjenje (od 5.11.2025.) Damira Gazdića, stručnjaka iz prakse da nije u mogućnosti preuzeti ranije usaglašane obaveze</w:t>
            </w:r>
          </w:p>
        </w:tc>
      </w:tr>
      <w:tr>
        <w:trPr>
          <w:trHeight w:val="1404" w:hRule="atLeast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>Metodika nastavnog rada I (vježbe)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>IV / VII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>3 2 0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>Damir Gazdić, stručnjak iz prakse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Alis Begić, stručnjak iz prakse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en-AU" w:eastAsia="zh-CN" w:bidi="ar"/>
              </w:rPr>
              <w:t>30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Izjašnjenje (od 5.11.2025.) Damira Gazdića, stručnjaka iz prakse da nije u mogućnosti preuzeti ranije usaglašane obaveze</w:t>
            </w:r>
          </w:p>
        </w:tc>
      </w:tr>
      <w:tr>
        <w:trPr>
          <w:trHeight w:val="180" w:hRule="atLeast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Pedagogija sa didaktikom (vježbe) FTOS/TOINF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III/V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2 1 0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nepokriveno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Alis Begić, stručnjak iz prakse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15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</w:tr>
      <w:tr>
        <w:trPr>
          <w:trHeight w:val="180" w:hRule="atLeast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Predškolska pedagogija (Pedagogija)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I/I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3 2 0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Prof.dr. Selma Porobić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nepokriveno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15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Prof.dr. Selma Porobić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Prof.dr. Edina Vejo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15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30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</w:tr>
      <w:tr>
        <w:trPr>
          <w:trHeight w:val="180" w:hRule="atLeast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Predškolska pedagogija (Razredna nastav i Predškolski odgoj)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III/VI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3 2 0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Prof.dr. Selma Porobić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nepokriveno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Prof.dr. Selma Porobić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Prof.dr. Edina Vejo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15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200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sz w:val="20"/>
                <w:szCs w:val="20"/>
                <w:lang w:val="bs-BA"/>
              </w:rPr>
              <w:t>30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rPr>
                <w:rFonts w:ascii="Times New Roman" w:hAnsi="Times New Roman"/>
                <w:lang w:val="en-AU"/>
              </w:rPr>
            </w:pPr>
            <w:r>
              <w:rPr>
                <w:rFonts w:ascii="Times New Roman" w:hAnsi="Times New Roman"/>
                <w:lang w:val="en-A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Prodekan za nastavu i studentska pitanja iz reda društvenih nauka:</w:t>
        <w:br/>
        <w:t>Dr. sc. Elvis Vardo, vanredni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Prodekan za nastavu i studentska pitanja iz reda humanističkih nauka:</w:t>
        <w:br/>
        <w:t>Dr. sc. Selma Kešetović, vanredni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Dekan:</w:t>
        <w:br/>
        <w:t>Dr. sc. Sead Nazibegović, redovni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</w:rPr>
        <w:t>Datum podnošenja prijedloga: 26.11.2025.</w:t>
      </w:r>
    </w:p>
    <w:sectPr>
      <w:footerReference w:type="default" r:id="rId2"/>
      <w:type w:val="nextPage"/>
      <w:pgSz w:orient="landscape" w:w="15840" w:h="12240"/>
      <w:pgMar w:left="1440" w:right="1440" w:header="0" w:top="144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ee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79695552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175c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175c"/>
    <w:pPr>
      <w:keepNext w:val="true"/>
      <w:keepLines/>
      <w:spacing w:lineRule="auto" w:line="276"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17b6"/>
    <w:pPr>
      <w:keepNext w:val="true"/>
      <w:keepLines/>
      <w:spacing w:lineRule="auto" w:line="259" w:before="40" w:after="0"/>
      <w:outlineLvl w:val="1"/>
    </w:pPr>
    <w:rPr>
      <w:rFonts w:ascii="Times New Roman" w:hAnsi="Times New Roman" w:eastAsia="" w:cs="" w:cstheme="majorBidi" w:eastAsiaTheme="majorEastAsia"/>
      <w:b/>
      <w:i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175c"/>
    <w:pPr>
      <w:keepNext w:val="true"/>
      <w:keepLines/>
      <w:spacing w:lineRule="auto" w:line="276" w:before="160" w:after="80"/>
      <w:outlineLvl w:val="2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3"/>
    </w:pPr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4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5"/>
    </w:pPr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6"/>
    </w:pPr>
    <w:rPr>
      <w:rFonts w:ascii="Calibri" w:hAnsi="Calibri" w:eastAsia="" w:cs="" w:asciiTheme="minorHAnsi" w:cstheme="majorBidi" w:eastAsiaTheme="majorEastAsia" w:hAnsiTheme="minorHAns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7"/>
    </w:pPr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8"/>
    </w:pPr>
    <w:rPr>
      <w:rFonts w:ascii="Calibri" w:hAnsi="Calibri" w:eastAsia="" w:cs="" w:asciiTheme="minorHAnsi" w:cstheme="majorBidi" w:eastAsiaTheme="majorEastAsia" w:hAnsiTheme="minorHAns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uiPriority w:val="9"/>
    <w:qFormat/>
    <w:rsid w:val="008b17b6"/>
    <w:rPr>
      <w:rFonts w:eastAsia="" w:cs="" w:cstheme="majorBidi" w:eastAsiaTheme="majorEastAsia"/>
      <w:b/>
      <w:i/>
      <w:color w:val="000000" w:themeColor="text1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3175c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63175c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63175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3175c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6317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175c"/>
    <w:rPr>
      <w:b/>
      <w:bCs/>
      <w:smallCaps/>
      <w:color w:val="2F5496" w:themeColor="accent1" w:themeShade="bf"/>
      <w:spacing w:val="5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f34055"/>
    <w:rPr>
      <w:rFonts w:ascii="Calibri" w:hAnsi="Calibri" w:eastAsia="Times New Roman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f34055"/>
    <w:rPr>
      <w:rFonts w:ascii="Calibri" w:hAnsi="Calibri" w:eastAsia="Times New Roman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63175c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175c"/>
    <w:pPr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175c"/>
    <w:pPr>
      <w:spacing w:before="160" w:after="20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175c"/>
    <w:pPr>
      <w:spacing w:before="0" w:after="20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63175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f34055"/>
    <w:pPr>
      <w:tabs>
        <w:tab w:val="clear" w:pos="720"/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f34055"/>
    <w:pPr>
      <w:tabs>
        <w:tab w:val="clear" w:pos="720"/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Times New Roman" w:eastAsiaTheme="minorHAnsi"/>
      <w:color w:val="auto"/>
      <w:kern w:val="2"/>
      <w:sz w:val="22"/>
      <w:szCs w:val="22"/>
      <w:lang w:val="bs-BA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Application>LibreOffice/7.0.3.1$Windows_X86_64 LibreOffice_project/d7547858d014d4cf69878db179d326fc3483e082</Application>
  <Pages>7</Pages>
  <Words>971</Words>
  <Characters>5829</Characters>
  <CharactersWithSpaces>6721</CharactersWithSpaces>
  <Paragraphs>296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2025-10-28T13:42:00Z</dcterms:created>
  <dc:creator>Anes Makul</dc:creator>
  <dc:description/>
  <dc:language>en-US</dc:language>
  <cp:lastModifiedBy/>
  <dcterms:modified xsi:type="dcterms:W3CDTF">2025-11-28T08:31:51Z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